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3C" w:rsidRPr="001931D3" w:rsidRDefault="001931D3" w:rsidP="00193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1D3">
        <w:rPr>
          <w:rFonts w:ascii="Times New Roman" w:hAnsi="Times New Roman" w:cs="Times New Roman"/>
          <w:b/>
          <w:sz w:val="24"/>
          <w:szCs w:val="24"/>
        </w:rPr>
        <w:t>Программа трехдневного семинара</w:t>
      </w:r>
    </w:p>
    <w:p w:rsidR="001931D3" w:rsidRDefault="001931D3" w:rsidP="00EF0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1D3">
        <w:rPr>
          <w:rFonts w:ascii="Times New Roman" w:hAnsi="Times New Roman" w:cs="Times New Roman"/>
          <w:b/>
          <w:sz w:val="24"/>
          <w:szCs w:val="24"/>
        </w:rPr>
        <w:t>«</w:t>
      </w:r>
      <w:r w:rsidR="00626540">
        <w:rPr>
          <w:rFonts w:ascii="Times New Roman" w:hAnsi="Times New Roman" w:cs="Times New Roman"/>
          <w:b/>
          <w:sz w:val="24"/>
          <w:szCs w:val="24"/>
        </w:rPr>
        <w:t>Стратегическое планирование и о</w:t>
      </w:r>
      <w:r w:rsidR="00D917E9">
        <w:rPr>
          <w:rFonts w:ascii="Times New Roman" w:hAnsi="Times New Roman" w:cs="Times New Roman"/>
          <w:b/>
          <w:sz w:val="24"/>
          <w:szCs w:val="24"/>
        </w:rPr>
        <w:t xml:space="preserve">рганизационное развитие </w:t>
      </w:r>
      <w:r w:rsidR="00626540">
        <w:rPr>
          <w:rFonts w:ascii="Times New Roman" w:hAnsi="Times New Roman" w:cs="Times New Roman"/>
          <w:b/>
          <w:sz w:val="24"/>
          <w:szCs w:val="24"/>
        </w:rPr>
        <w:t>НКО</w:t>
      </w:r>
      <w:r w:rsidR="00D917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26540">
        <w:rPr>
          <w:rFonts w:ascii="Times New Roman" w:hAnsi="Times New Roman" w:cs="Times New Roman"/>
          <w:b/>
          <w:sz w:val="24"/>
          <w:szCs w:val="24"/>
        </w:rPr>
        <w:t xml:space="preserve">развитие деятельности, </w:t>
      </w:r>
      <w:r w:rsidR="00D917E9">
        <w:rPr>
          <w:rFonts w:ascii="Times New Roman" w:hAnsi="Times New Roman" w:cs="Times New Roman"/>
          <w:b/>
          <w:sz w:val="24"/>
          <w:szCs w:val="24"/>
        </w:rPr>
        <w:t>привлечение ресурсов, выстраивание взаимодействия с государственными структурами, продвижение НКО</w:t>
      </w:r>
      <w:r w:rsidR="00EF06E5">
        <w:rPr>
          <w:rFonts w:ascii="Times New Roman" w:hAnsi="Times New Roman" w:cs="Times New Roman"/>
          <w:b/>
          <w:sz w:val="24"/>
          <w:szCs w:val="24"/>
        </w:rPr>
        <w:t>»</w:t>
      </w:r>
    </w:p>
    <w:p w:rsidR="001931D3" w:rsidRPr="001931D3" w:rsidRDefault="001931D3" w:rsidP="001931D3">
      <w:pPr>
        <w:rPr>
          <w:rFonts w:ascii="Times New Roman" w:hAnsi="Times New Roman" w:cs="Times New Roman"/>
          <w:b/>
          <w:sz w:val="24"/>
          <w:szCs w:val="24"/>
        </w:rPr>
      </w:pPr>
      <w:r w:rsidRPr="001931D3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D01139" w:rsidRDefault="00D01139" w:rsidP="00626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призван дать исчерпывающие технологии развития НКО: от разработки стратегии до ее реализации.</w:t>
      </w:r>
    </w:p>
    <w:p w:rsidR="00626540" w:rsidRPr="00626540" w:rsidRDefault="00626540" w:rsidP="00626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6540">
        <w:rPr>
          <w:rFonts w:ascii="Times New Roman" w:hAnsi="Times New Roman" w:cs="Times New Roman"/>
          <w:sz w:val="24"/>
          <w:szCs w:val="24"/>
        </w:rPr>
        <w:t>Стратегия - это не размышления об идеальном будущем, а конкретные пути и способы реализации своих ценностей и целей в настоящем. В этом смысле стратегия это не про то, что делать завтра, а про то, как действовать сегодня, чтобы быть дальновидным: каждая некоммерческая организация действует, следуя проработанной и выверенной, основанной на анализе стратегии, либо действия этой организации определяются влиянием внешних обстоятельств, являются ответом, р</w:t>
      </w:r>
      <w:r>
        <w:rPr>
          <w:rFonts w:ascii="Times New Roman" w:hAnsi="Times New Roman" w:cs="Times New Roman"/>
          <w:sz w:val="24"/>
          <w:szCs w:val="24"/>
        </w:rPr>
        <w:t xml:space="preserve">еакцией на эти обстоятельства. </w:t>
      </w:r>
    </w:p>
    <w:p w:rsidR="00626540" w:rsidRPr="00626540" w:rsidRDefault="00626540" w:rsidP="00626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6540">
        <w:rPr>
          <w:rFonts w:ascii="Times New Roman" w:hAnsi="Times New Roman" w:cs="Times New Roman"/>
          <w:sz w:val="24"/>
          <w:szCs w:val="24"/>
        </w:rPr>
        <w:t>Специфика некоммерческих организаций состоит в том, что у них есть миссия, ради реализации которой они создавались, которая основана на их ценностях и которую нельзя просто так менять, исходя из условий внешней среды. В таком случае стратегическое планирование заключается в поиске целей и путей их достижения в конкретный планируемый промежуток времени, которые бы позволили организации продвинуться в направлении реализации своей миссии.</w:t>
      </w:r>
    </w:p>
    <w:p w:rsidR="00626540" w:rsidRPr="00626540" w:rsidRDefault="00626540" w:rsidP="00626540">
      <w:pPr>
        <w:jc w:val="both"/>
        <w:rPr>
          <w:rFonts w:ascii="Times New Roman" w:hAnsi="Times New Roman" w:cs="Times New Roman"/>
          <w:sz w:val="24"/>
          <w:szCs w:val="24"/>
        </w:rPr>
      </w:pPr>
      <w:r w:rsidRPr="00626540">
        <w:rPr>
          <w:rFonts w:ascii="Times New Roman" w:hAnsi="Times New Roman" w:cs="Times New Roman"/>
          <w:sz w:val="24"/>
          <w:szCs w:val="24"/>
        </w:rPr>
        <w:t xml:space="preserve">В рамках тренинга участники получат детальную технологию проведения стратегического планирования </w:t>
      </w:r>
      <w:r>
        <w:rPr>
          <w:rFonts w:ascii="Times New Roman" w:hAnsi="Times New Roman" w:cs="Times New Roman"/>
          <w:sz w:val="24"/>
          <w:szCs w:val="24"/>
        </w:rPr>
        <w:t>для некоммерческой организации.</w:t>
      </w:r>
    </w:p>
    <w:p w:rsidR="00626540" w:rsidRPr="00626540" w:rsidRDefault="00626540" w:rsidP="006265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540">
        <w:rPr>
          <w:rFonts w:ascii="Times New Roman" w:hAnsi="Times New Roman" w:cs="Times New Roman"/>
          <w:bCs/>
          <w:sz w:val="24"/>
          <w:szCs w:val="24"/>
        </w:rPr>
        <w:t xml:space="preserve">Любое развитие деятельности организации, как правило, требует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ресурсов. А значит - </w:t>
      </w:r>
      <w:r w:rsidRPr="00626540">
        <w:rPr>
          <w:rFonts w:ascii="Times New Roman" w:hAnsi="Times New Roman" w:cs="Times New Roman"/>
          <w:bCs/>
          <w:sz w:val="24"/>
          <w:szCs w:val="24"/>
        </w:rPr>
        <w:t xml:space="preserve">организационного развития: усиления внутреннего потенциала организации и развития взаимодействия с значимым окружением. Особенно вопросы организационного развития актуальны для тех НКО, которые </w:t>
      </w:r>
      <w:r>
        <w:rPr>
          <w:rFonts w:ascii="Times New Roman" w:hAnsi="Times New Roman" w:cs="Times New Roman"/>
          <w:bCs/>
          <w:sz w:val="24"/>
          <w:szCs w:val="24"/>
        </w:rPr>
        <w:t>идут по пути становления как профессиональных</w:t>
      </w:r>
      <w:r w:rsidRPr="00626540">
        <w:rPr>
          <w:rFonts w:ascii="Times New Roman" w:hAnsi="Times New Roman" w:cs="Times New Roman"/>
          <w:bCs/>
          <w:sz w:val="24"/>
          <w:szCs w:val="24"/>
        </w:rPr>
        <w:t xml:space="preserve"> НКО, т.е. имеют оплачиваемый штат сотрудников, для которых деятельность в данной НКО является основным источником заработка. Сам по себе переход НКО от чисто волонтерских к профессиональным важен, поскольку волонтерское НКО как правило не устойчиво, такой НКО сложно реализовывать постоянно и на высоком уровне качества профессиональные услуги, требующие регулярной работы специалистов в долгосрочной перспективе. Во-вторых, люди, работающие в волонтерской НКО вынуждены тратить большую часть своего времени не на работу в НКО, а на работу в других организациях, где они получают заработную плату, что существенно снижает их эффективность для р</w:t>
      </w:r>
      <w:r>
        <w:rPr>
          <w:rFonts w:ascii="Times New Roman" w:hAnsi="Times New Roman" w:cs="Times New Roman"/>
          <w:bCs/>
          <w:sz w:val="24"/>
          <w:szCs w:val="24"/>
        </w:rPr>
        <w:t>азвития деятельности самой НКО.</w:t>
      </w:r>
    </w:p>
    <w:p w:rsidR="00626540" w:rsidRPr="00626540" w:rsidRDefault="00626540" w:rsidP="006265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540">
        <w:rPr>
          <w:rFonts w:ascii="Times New Roman" w:hAnsi="Times New Roman" w:cs="Times New Roman"/>
          <w:bCs/>
          <w:sz w:val="24"/>
          <w:szCs w:val="24"/>
        </w:rPr>
        <w:t xml:space="preserve">Организационное развитие обычно включает несколько направлений деятельности, в том числе развитие человеческого потенциала НКО, фандрайзинг (привлечение ресурсов), </w:t>
      </w:r>
      <w:r w:rsidRPr="00626540">
        <w:rPr>
          <w:rFonts w:ascii="Times New Roman" w:hAnsi="Times New Roman" w:cs="Times New Roman"/>
          <w:bCs/>
          <w:sz w:val="24"/>
          <w:szCs w:val="24"/>
          <w:lang w:val="en-US"/>
        </w:rPr>
        <w:t>PR</w:t>
      </w:r>
      <w:r w:rsidRPr="00626540">
        <w:rPr>
          <w:rFonts w:ascii="Times New Roman" w:hAnsi="Times New Roman" w:cs="Times New Roman"/>
          <w:bCs/>
          <w:sz w:val="24"/>
          <w:szCs w:val="24"/>
        </w:rPr>
        <w:t xml:space="preserve"> (продвижение НКО), </w:t>
      </w:r>
      <w:r w:rsidRPr="00626540">
        <w:rPr>
          <w:rFonts w:ascii="Times New Roman" w:hAnsi="Times New Roman" w:cs="Times New Roman"/>
          <w:bCs/>
          <w:sz w:val="24"/>
          <w:szCs w:val="24"/>
          <w:lang w:val="en-US"/>
        </w:rPr>
        <w:t>GR</w:t>
      </w:r>
      <w:r w:rsidRPr="00626540">
        <w:rPr>
          <w:rFonts w:ascii="Times New Roman" w:hAnsi="Times New Roman" w:cs="Times New Roman"/>
          <w:bCs/>
          <w:sz w:val="24"/>
          <w:szCs w:val="24"/>
        </w:rPr>
        <w:t xml:space="preserve"> (взаимодействие с государственными структурами) и др. В каждом конкретном случае, в зависимости от стратегии развития организации актуальны те или иные задачи организационного раз</w:t>
      </w:r>
      <w:r>
        <w:rPr>
          <w:rFonts w:ascii="Times New Roman" w:hAnsi="Times New Roman" w:cs="Times New Roman"/>
          <w:bCs/>
          <w:sz w:val="24"/>
          <w:szCs w:val="24"/>
        </w:rPr>
        <w:t>вития.</w:t>
      </w:r>
    </w:p>
    <w:p w:rsidR="00626540" w:rsidRPr="00626540" w:rsidRDefault="00626540" w:rsidP="006265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540">
        <w:rPr>
          <w:rFonts w:ascii="Times New Roman" w:hAnsi="Times New Roman" w:cs="Times New Roman"/>
          <w:bCs/>
          <w:sz w:val="24"/>
          <w:szCs w:val="24"/>
        </w:rPr>
        <w:t>Тренинг призван дать инструменты проектирования стратегии и механизмов</w:t>
      </w:r>
      <w:r w:rsidR="00D01139">
        <w:rPr>
          <w:rFonts w:ascii="Times New Roman" w:hAnsi="Times New Roman" w:cs="Times New Roman"/>
          <w:bCs/>
          <w:sz w:val="24"/>
          <w:szCs w:val="24"/>
        </w:rPr>
        <w:t xml:space="preserve"> организационнного развития НКО и конкретные технологии, которые помогут выстроить взаимодействие с окружением (государством, бизнесом, СМИ, грантодающими оршганизациями и др.) и привлечь необходимые ресурсы.</w:t>
      </w:r>
    </w:p>
    <w:p w:rsidR="001931D3" w:rsidRPr="00626540" w:rsidRDefault="001931D3" w:rsidP="001931D3">
      <w:pPr>
        <w:rPr>
          <w:rFonts w:ascii="Times New Roman" w:hAnsi="Times New Roman" w:cs="Times New Roman"/>
          <w:b/>
          <w:sz w:val="24"/>
          <w:szCs w:val="24"/>
        </w:rPr>
      </w:pPr>
      <w:r w:rsidRPr="0062654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133645" w:rsidRPr="00626540" w:rsidTr="00B10851">
        <w:tc>
          <w:tcPr>
            <w:tcW w:w="9345" w:type="dxa"/>
            <w:gridSpan w:val="2"/>
          </w:tcPr>
          <w:p w:rsidR="00133645" w:rsidRPr="00626540" w:rsidRDefault="00133645" w:rsidP="0013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день</w:t>
            </w:r>
          </w:p>
        </w:tc>
      </w:tr>
      <w:tr w:rsidR="00133645" w:rsidRPr="00626540" w:rsidTr="00B10851">
        <w:tc>
          <w:tcPr>
            <w:tcW w:w="1555" w:type="dxa"/>
          </w:tcPr>
          <w:p w:rsidR="00133645" w:rsidRPr="00626540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790" w:type="dxa"/>
          </w:tcPr>
          <w:p w:rsidR="00133645" w:rsidRPr="00626540" w:rsidRDefault="00133645" w:rsidP="0013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планирование НКО</w:t>
            </w:r>
          </w:p>
          <w:p w:rsidR="00133645" w:rsidRPr="00626540" w:rsidRDefault="00133645" w:rsidP="001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Почему НКО не разрабатывают стратегию (стереотипы и заблуждения) и к чему это приводит</w:t>
            </w:r>
          </w:p>
          <w:p w:rsidR="00133645" w:rsidRPr="00626540" w:rsidRDefault="00133645" w:rsidP="001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Как просто и технологично разработать реалистичную и эффективную стратегию своей организации:</w:t>
            </w:r>
          </w:p>
          <w:p w:rsidR="00133645" w:rsidRPr="00626540" w:rsidRDefault="00133645" w:rsidP="001336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Трехсферная модель стратегического планирования НКО</w:t>
            </w:r>
          </w:p>
          <w:p w:rsidR="00133645" w:rsidRPr="00626540" w:rsidRDefault="00133645" w:rsidP="0013364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Пошаговая технология разработки стратегии развития НКО</w:t>
            </w:r>
          </w:p>
          <w:p w:rsidR="00133645" w:rsidRPr="00626540" w:rsidRDefault="00626540" w:rsidP="0013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Практикум – определение основных направлений развития деятельности НКО</w:t>
            </w:r>
          </w:p>
        </w:tc>
      </w:tr>
      <w:tr w:rsidR="00133645" w:rsidRPr="00626540" w:rsidTr="00B10851">
        <w:tc>
          <w:tcPr>
            <w:tcW w:w="1555" w:type="dxa"/>
          </w:tcPr>
          <w:p w:rsidR="00133645" w:rsidRPr="00626540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7790" w:type="dxa"/>
          </w:tcPr>
          <w:p w:rsidR="00133645" w:rsidRPr="00626540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133645" w:rsidRPr="00626540" w:rsidTr="00B10851">
        <w:tc>
          <w:tcPr>
            <w:tcW w:w="1555" w:type="dxa"/>
          </w:tcPr>
          <w:p w:rsidR="00133645" w:rsidRPr="00626540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11.45 – 13.00</w:t>
            </w:r>
          </w:p>
        </w:tc>
        <w:tc>
          <w:tcPr>
            <w:tcW w:w="7790" w:type="dxa"/>
          </w:tcPr>
          <w:p w:rsidR="00133645" w:rsidRPr="00626540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развитие</w:t>
            </w: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645" w:rsidRPr="00626540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знать и уметь чтобы разработать эффективную стратегию организационного развития и усиления потенциала НКО </w:t>
            </w:r>
          </w:p>
          <w:p w:rsidR="00133645" w:rsidRPr="00626540" w:rsidRDefault="00133645" w:rsidP="001336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Модель организационного развития НКО</w:t>
            </w:r>
          </w:p>
          <w:p w:rsidR="00133645" w:rsidRPr="00626540" w:rsidRDefault="00133645" w:rsidP="001336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Стратегия привлечения ресурсов: основные составляющие, как оценить эффективность текущей стратегии/практики привлечения ресурсов</w:t>
            </w:r>
          </w:p>
          <w:p w:rsidR="00133645" w:rsidRPr="00626540" w:rsidRDefault="00133645" w:rsidP="001336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Стратегия продвижеиия НКО: основные составляющие, как оценить эффективность текущей стратегии/практики привлечения ресурсов</w:t>
            </w:r>
          </w:p>
          <w:p w:rsidR="00133645" w:rsidRPr="00626540" w:rsidRDefault="00133645" w:rsidP="0013364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Стратегия взаимодействия с государственными структурами:</w:t>
            </w:r>
            <w:r w:rsidR="00626540" w:rsidRPr="0062654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составляющие, как оценить эффективность текущей стратегии/практики привлечения ресурсов</w:t>
            </w:r>
          </w:p>
          <w:p w:rsidR="00133645" w:rsidRPr="00626540" w:rsidRDefault="00626540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sz w:val="24"/>
                <w:szCs w:val="24"/>
              </w:rPr>
              <w:t>Практикум – определение участниками основных направлений повышения потенциала своих НКО</w:t>
            </w:r>
          </w:p>
        </w:tc>
      </w:tr>
      <w:tr w:rsidR="00133645" w:rsidRPr="00B550A7" w:rsidTr="00B10851">
        <w:tc>
          <w:tcPr>
            <w:tcW w:w="1555" w:type="dxa"/>
          </w:tcPr>
          <w:p w:rsidR="00133645" w:rsidRPr="00B550A7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790" w:type="dxa"/>
          </w:tcPr>
          <w:p w:rsidR="00133645" w:rsidRPr="00B550A7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133645" w:rsidRPr="00B550A7" w:rsidTr="00B10851">
        <w:tc>
          <w:tcPr>
            <w:tcW w:w="1555" w:type="dxa"/>
          </w:tcPr>
          <w:p w:rsidR="00133645" w:rsidRPr="00B550A7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7790" w:type="dxa"/>
          </w:tcPr>
          <w:p w:rsidR="00133645" w:rsidRPr="00626540" w:rsidRDefault="00626540" w:rsidP="0013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b/>
                <w:sz w:val="24"/>
                <w:szCs w:val="24"/>
              </w:rPr>
              <w:t>Где и за счет чего брать ресурсы или модели взаимодействия со значимым окружением</w:t>
            </w:r>
          </w:p>
          <w:p w:rsidR="00626540" w:rsidRDefault="00626540" w:rsidP="00626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bCs/>
                <w:sz w:val="24"/>
                <w:szCs w:val="24"/>
              </w:rPr>
              <w:t>Для выстраивания взаимодействия с бизнесом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СМИ, государственными структурами и другими субъектами значимого окружения</w:t>
            </w:r>
            <w:r w:rsidRPr="00B55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необходимо, во-первых, понимать их интересы и то, что НКО может предложить, как механизм реализации интересов. Во-вторых, важно знать типовые стереотипы и представления представителей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групп значимого окружения</w:t>
            </w:r>
            <w:r w:rsidRPr="00B55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НКО </w:t>
            </w:r>
            <w:r w:rsidRPr="00B55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уметь работать с ними. В третьих, осознавать ключевые факторы успеха и понимать, какие внутренние ресурсы в НКО необходимо развивать. И, наконец, иметь представления о различных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формах и механизмах взаимодействия</w:t>
            </w:r>
            <w:r w:rsidRPr="00B550A7">
              <w:rPr>
                <w:rFonts w:ascii="Times New Roman" w:hAnsi="Times New Roman" w:cs="Times New Roman"/>
                <w:bCs/>
                <w:sz w:val="24"/>
                <w:szCs w:val="24"/>
              </w:rPr>
              <w:t>. Важным фактором является также и наличие правильной конструктивной внутренней позиции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 построении диалога со значимым окружением.</w:t>
            </w:r>
          </w:p>
          <w:p w:rsidR="00626540" w:rsidRDefault="00626540" w:rsidP="006265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блока включает:</w:t>
            </w:r>
          </w:p>
          <w:p w:rsidR="00626540" w:rsidRPr="00626540" w:rsidRDefault="00626540" w:rsidP="0062654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значимого окружения и их интересы</w:t>
            </w:r>
          </w:p>
          <w:p w:rsidR="00626540" w:rsidRPr="00626540" w:rsidRDefault="00626540" w:rsidP="0062654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bCs/>
                <w:sz w:val="24"/>
                <w:szCs w:val="24"/>
              </w:rPr>
              <w:t>Что может предложить НКО</w:t>
            </w:r>
          </w:p>
          <w:p w:rsidR="00626540" w:rsidRPr="00626540" w:rsidRDefault="00626540" w:rsidP="0062654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6540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и форматы взаимодействия</w:t>
            </w:r>
          </w:p>
          <w:p w:rsidR="00626540" w:rsidRPr="00B550A7" w:rsidRDefault="00626540" w:rsidP="0013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45" w:rsidRPr="00B550A7" w:rsidTr="00B10851">
        <w:tc>
          <w:tcPr>
            <w:tcW w:w="1555" w:type="dxa"/>
          </w:tcPr>
          <w:p w:rsidR="00133645" w:rsidRPr="00B550A7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7790" w:type="dxa"/>
          </w:tcPr>
          <w:p w:rsidR="00133645" w:rsidRPr="00B550A7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133645" w:rsidRPr="00B550A7" w:rsidTr="00B10851">
        <w:tc>
          <w:tcPr>
            <w:tcW w:w="1555" w:type="dxa"/>
          </w:tcPr>
          <w:p w:rsidR="00133645" w:rsidRPr="00B550A7" w:rsidRDefault="00133645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15.45 – 17.00</w:t>
            </w:r>
          </w:p>
        </w:tc>
        <w:tc>
          <w:tcPr>
            <w:tcW w:w="7790" w:type="dxa"/>
          </w:tcPr>
          <w:p w:rsidR="00D01139" w:rsidRPr="00B550A7" w:rsidRDefault="00D01139" w:rsidP="00D011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«Модель разработки стратегии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тактики </w:t>
            </w:r>
            <w:r w:rsidRPr="00B5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со значимым окружением (на примере взаимодействия НКО с бизнес-сектором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государственными структурами</w:t>
            </w:r>
            <w:r w:rsidRPr="00B55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)»</w:t>
            </w:r>
          </w:p>
          <w:p w:rsidR="00D01139" w:rsidRPr="00B550A7" w:rsidRDefault="00D01139" w:rsidP="00D0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39" w:rsidRPr="00B550A7" w:rsidRDefault="00D01139" w:rsidP="00D0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 все ресурсы для реализации своей деятельности НКО берет из взаимодействия со значимым окружением: государственными, коммерческими структурами, общественностью, СМИ, другими НКО, </w:t>
            </w:r>
            <w:r w:rsidRPr="00B5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грантодающими организациями и фондами и др. Почему у одних НКО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получается лучше, чем у других?</w:t>
            </w:r>
          </w:p>
          <w:p w:rsidR="00133645" w:rsidRPr="00B550A7" w:rsidRDefault="00D01139" w:rsidP="00D0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данного блока </w:t>
            </w: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разобрана с</w:t>
            </w: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хема «Интересы-Представления-Ресурсы»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позволяет оценить вероятность успеха при взаимодействии со конкретными субъектами значимого окружения, определить с кем и как выстраивать, чтобы привлечь ресурсы</w:t>
            </w:r>
          </w:p>
        </w:tc>
      </w:tr>
      <w:tr w:rsidR="00B550A7" w:rsidRPr="00B550A7" w:rsidTr="007F5B66">
        <w:tc>
          <w:tcPr>
            <w:tcW w:w="9345" w:type="dxa"/>
            <w:gridSpan w:val="2"/>
          </w:tcPr>
          <w:p w:rsidR="00B550A7" w:rsidRPr="00B550A7" w:rsidRDefault="00133645" w:rsidP="00133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день</w:t>
            </w:r>
          </w:p>
        </w:tc>
      </w:tr>
      <w:tr w:rsidR="00B550A7" w:rsidRPr="00B550A7" w:rsidTr="00B550A7">
        <w:tc>
          <w:tcPr>
            <w:tcW w:w="1555" w:type="dxa"/>
          </w:tcPr>
          <w:p w:rsidR="00B550A7" w:rsidRPr="00B550A7" w:rsidRDefault="00B550A7" w:rsidP="00B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790" w:type="dxa"/>
          </w:tcPr>
          <w:p w:rsidR="007A60E2" w:rsidRPr="00D97DC6" w:rsidRDefault="007A60E2" w:rsidP="007A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9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тратегии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механизмы </w:t>
            </w:r>
            <w:r w:rsidRPr="00D97DC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 с грантодающи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организациями и программами</w:t>
            </w:r>
          </w:p>
          <w:p w:rsidR="007A60E2" w:rsidRDefault="007A60E2" w:rsidP="007A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E2" w:rsidRDefault="007A60E2" w:rsidP="007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того, чтобы играть в грантовую поддержку «в долгую» и быть максимально эффективным надо понимать все правила игры и работать над тем, чтобы по максимуму влиять на все ключевые факторы, которые повышают вероятность получения грантов.</w:t>
            </w:r>
          </w:p>
          <w:p w:rsidR="007A60E2" w:rsidRDefault="007A60E2" w:rsidP="007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содержательные блоки:</w:t>
            </w:r>
          </w:p>
          <w:p w:rsidR="00D01139" w:rsidRPr="00D01139" w:rsidRDefault="007A60E2" w:rsidP="00D0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зависит вероятность получения гранта (и над чем необходимо системно работать, чтобы повысить вероятность получения грант): 4 ключевых фактора. Эффективный проект и универсальные критерии (актуальность, эффективность, реализуемость, устойчивость): чему необходимо соответствовать. Почему важен выбор идеи проекта и как выбрать эффективную идею. Что необходимо делать, чтобы все идеи проектов были максимально «грантодабельны». Продвижение организации и как оно связано с вероятностью получения гранта. Как это делается: адресное продвижение в экспертных сообществах, социальные сети, сайт организации, взаимодействие со СМИ. Что такое взаимодействие с грантодателем и как оно реализуется до получения гранта и в процессе его реализации. Как выбрать максимально эффективную стратегию работы с грантами в зависимости от ситуации, опыта и уровня оргразвития организации.</w:t>
            </w:r>
          </w:p>
        </w:tc>
      </w:tr>
      <w:tr w:rsidR="00B550A7" w:rsidRPr="00B550A7" w:rsidTr="00B550A7">
        <w:tc>
          <w:tcPr>
            <w:tcW w:w="1555" w:type="dxa"/>
          </w:tcPr>
          <w:p w:rsidR="00B550A7" w:rsidRPr="00B550A7" w:rsidRDefault="00B550A7" w:rsidP="00B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7790" w:type="dxa"/>
          </w:tcPr>
          <w:p w:rsidR="00B550A7" w:rsidRPr="00B550A7" w:rsidRDefault="00B550A7" w:rsidP="00B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550A7" w:rsidRPr="00B550A7" w:rsidTr="00B550A7">
        <w:tc>
          <w:tcPr>
            <w:tcW w:w="1555" w:type="dxa"/>
          </w:tcPr>
          <w:p w:rsidR="00B550A7" w:rsidRPr="00B550A7" w:rsidRDefault="00B550A7" w:rsidP="00B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13.00</w:t>
            </w:r>
          </w:p>
        </w:tc>
        <w:tc>
          <w:tcPr>
            <w:tcW w:w="7790" w:type="dxa"/>
          </w:tcPr>
          <w:p w:rsidR="007A60E2" w:rsidRPr="00CF11EC" w:rsidRDefault="007A60E2" w:rsidP="007A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как формы управления деятельностью</w:t>
            </w:r>
          </w:p>
          <w:p w:rsidR="007A60E2" w:rsidRDefault="007A60E2" w:rsidP="007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проект как форма управлению деятельностью. Логическая структура проекта. Типовые ошибки в представлении описания проектов/проектной логике. Как использовать проект при взаимодействии с бизнесом, государственными структурами, СМИ.</w:t>
            </w:r>
          </w:p>
          <w:p w:rsidR="007A60E2" w:rsidRDefault="007A60E2" w:rsidP="007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проектных идей – практикум.</w:t>
            </w:r>
          </w:p>
          <w:p w:rsidR="00B550A7" w:rsidRPr="00B550A7" w:rsidRDefault="00B550A7" w:rsidP="007A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0A7" w:rsidRPr="00B550A7" w:rsidTr="00B550A7">
        <w:tc>
          <w:tcPr>
            <w:tcW w:w="1555" w:type="dxa"/>
          </w:tcPr>
          <w:p w:rsidR="00B550A7" w:rsidRPr="00B550A7" w:rsidRDefault="00B550A7" w:rsidP="008D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790" w:type="dxa"/>
          </w:tcPr>
          <w:p w:rsidR="00B550A7" w:rsidRPr="00B550A7" w:rsidRDefault="00B550A7" w:rsidP="008D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550A7" w:rsidRPr="00B550A7" w:rsidTr="00B550A7">
        <w:tc>
          <w:tcPr>
            <w:tcW w:w="1555" w:type="dxa"/>
          </w:tcPr>
          <w:p w:rsidR="00B550A7" w:rsidRPr="00B550A7" w:rsidRDefault="00B550A7" w:rsidP="00B5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7790" w:type="dxa"/>
          </w:tcPr>
          <w:p w:rsidR="007A60E2" w:rsidRPr="00B75127" w:rsidRDefault="007A60E2" w:rsidP="007A6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27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написания заявки на грант (на примере заявок на грант в Фонд президентских грантов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A60E2" w:rsidRDefault="007A60E2" w:rsidP="007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Разберем типовые разделы заявки на грант и техники их написания</w:t>
            </w:r>
          </w:p>
          <w:p w:rsidR="007A60E2" w:rsidRDefault="007A60E2" w:rsidP="007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содержательные блоки:</w:t>
            </w:r>
          </w:p>
          <w:p w:rsidR="00B550A7" w:rsidRPr="00B550A7" w:rsidRDefault="007A60E2" w:rsidP="007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6-ти шаговая модель обоснования актуальности проекта. Три основных раздела краткого описания проекта. Правила формулировки цели и задач проекта. Количественные и качественные результаты: правила описания. За счет чего складывается мнение об организации и команде организации: как описывать их в заявках на грант. Что важно знать при заполнении календарного плана. Типовые ошибки при составлении бюджета проекта. Как пишутся комментарии к бюджету. Какие письма поддержки необходимы</w:t>
            </w:r>
          </w:p>
        </w:tc>
      </w:tr>
      <w:tr w:rsidR="00B550A7" w:rsidRPr="00B550A7" w:rsidTr="00B550A7">
        <w:tc>
          <w:tcPr>
            <w:tcW w:w="1555" w:type="dxa"/>
          </w:tcPr>
          <w:p w:rsidR="00B550A7" w:rsidRPr="00B550A7" w:rsidRDefault="00B550A7" w:rsidP="008D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7790" w:type="dxa"/>
          </w:tcPr>
          <w:p w:rsidR="00B550A7" w:rsidRPr="00B550A7" w:rsidRDefault="00B550A7" w:rsidP="008D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B550A7" w:rsidRPr="00B550A7" w:rsidTr="00B550A7">
        <w:tc>
          <w:tcPr>
            <w:tcW w:w="1555" w:type="dxa"/>
          </w:tcPr>
          <w:p w:rsidR="00B550A7" w:rsidRPr="00B550A7" w:rsidRDefault="00B550A7" w:rsidP="008D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15.45 – 17.00</w:t>
            </w:r>
          </w:p>
        </w:tc>
        <w:tc>
          <w:tcPr>
            <w:tcW w:w="7790" w:type="dxa"/>
          </w:tcPr>
          <w:p w:rsidR="007A60E2" w:rsidRDefault="007A60E2" w:rsidP="00B550A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Фандрайзинговые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7A6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  <w:p w:rsidR="00B550A7" w:rsidRPr="00B550A7" w:rsidRDefault="007A60E2" w:rsidP="00B550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разработать, подготовить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успешную </w:t>
            </w:r>
            <w:r w:rsidRPr="007A60E2">
              <w:rPr>
                <w:rFonts w:ascii="Times New Roman" w:hAnsi="Times New Roman" w:cs="Times New Roman"/>
                <w:sz w:val="24"/>
                <w:szCs w:val="24"/>
              </w:rPr>
              <w:t>фандрайзинговую акцию. Разбор 5 примером модельных акций, которые могут быть проведены любой НКО в любом регионе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50A7" w:rsidRPr="00B55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139" w:rsidRPr="00B550A7" w:rsidTr="00B10851">
        <w:tc>
          <w:tcPr>
            <w:tcW w:w="9345" w:type="dxa"/>
            <w:gridSpan w:val="2"/>
          </w:tcPr>
          <w:p w:rsidR="00D01139" w:rsidRPr="00B550A7" w:rsidRDefault="007A60E2" w:rsidP="00B10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D01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</w:p>
        </w:tc>
      </w:tr>
      <w:tr w:rsidR="00D01139" w:rsidRPr="00B550A7" w:rsidTr="00B10851">
        <w:tc>
          <w:tcPr>
            <w:tcW w:w="1555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7790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переговоры. Техники управления коммуникацией и влияние».</w:t>
            </w:r>
          </w:p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Тренинг включает проведение игры в формате бизнес-симуляции по техникам управления переговорами и ролевые игры по переговорам с бизнесом.</w:t>
            </w:r>
          </w:p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Содержание тренинга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следующие темы:</w:t>
            </w:r>
          </w:p>
          <w:p w:rsidR="00D01139" w:rsidRPr="00B550A7" w:rsidRDefault="00D01139" w:rsidP="00B1085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Обзор ключевых схем управления коммуникацией: понимание и влияние, техники управления диалогом.</w:t>
            </w:r>
          </w:p>
          <w:p w:rsidR="00D01139" w:rsidRPr="00B550A7" w:rsidRDefault="00D01139" w:rsidP="00B1085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Переговорный процесс: основные этапы переговоров, решаемые задачи и необходимые действия и эффективные технологии, используемые переговорщиком на каждом этапе.</w:t>
            </w:r>
          </w:p>
          <w:p w:rsidR="00D01139" w:rsidRPr="00B550A7" w:rsidRDefault="00D01139" w:rsidP="00B1085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планирование переговоров: что включает в себя подготовка к переговорам и как она проводится. Составляющие подготовки к переговорам и схема подготовки к переговорам. </w:t>
            </w:r>
          </w:p>
          <w:p w:rsidR="00D01139" w:rsidRPr="00B550A7" w:rsidRDefault="00D01139" w:rsidP="00B1085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Навыки переговорщика - личные навыки, позволяющие эффективно применять технологии ведения переговоров.</w:t>
            </w:r>
          </w:p>
          <w:p w:rsidR="00D01139" w:rsidRPr="00B550A7" w:rsidRDefault="00D01139" w:rsidP="00B10851">
            <w:pPr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Техники влияния и убеждения</w:t>
            </w:r>
          </w:p>
        </w:tc>
      </w:tr>
      <w:tr w:rsidR="00D01139" w:rsidRPr="00B550A7" w:rsidTr="00B10851">
        <w:tc>
          <w:tcPr>
            <w:tcW w:w="1555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11.30 – 11.45</w:t>
            </w:r>
          </w:p>
        </w:tc>
        <w:tc>
          <w:tcPr>
            <w:tcW w:w="7790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01139" w:rsidRPr="00B550A7" w:rsidTr="00B10851">
        <w:tc>
          <w:tcPr>
            <w:tcW w:w="1555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13.00</w:t>
            </w:r>
          </w:p>
        </w:tc>
        <w:tc>
          <w:tcPr>
            <w:tcW w:w="7790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 переговоры. Техники управления коммуникацией и влияние» (продолжение)</w:t>
            </w:r>
          </w:p>
        </w:tc>
      </w:tr>
      <w:tr w:rsidR="00D01139" w:rsidRPr="00B550A7" w:rsidTr="00B10851">
        <w:tc>
          <w:tcPr>
            <w:tcW w:w="1555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790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01139" w:rsidRPr="00B550A7" w:rsidTr="00B10851">
        <w:tc>
          <w:tcPr>
            <w:tcW w:w="1555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7790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презентации</w:t>
            </w:r>
            <w:r w:rsidR="007A60E2">
              <w:rPr>
                <w:rFonts w:ascii="Times New Roman" w:hAnsi="Times New Roman" w:cs="Times New Roman"/>
                <w:b/>
                <w:sz w:val="24"/>
                <w:szCs w:val="24"/>
              </w:rPr>
              <w:t>. Навыки публичного выступления</w:t>
            </w:r>
          </w:p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Тренинг направлен на повышение компетенций участников с области подготовки и проведения публичных выступлений и презентаций, в том числе в мини-формате (участие встречах с представителями значимого окружения, умения эффективно донести свои мысли до собеседника или аудитории).</w:t>
            </w:r>
          </w:p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По окончания тренинга участники:</w:t>
            </w:r>
          </w:p>
          <w:p w:rsidR="00D01139" w:rsidRPr="00B550A7" w:rsidRDefault="00D01139" w:rsidP="00B1085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получат развернутые представления о законах управления коммуникацией и связанных с ними принципах успешного выступления;</w:t>
            </w:r>
          </w:p>
          <w:p w:rsidR="00D01139" w:rsidRPr="00B550A7" w:rsidRDefault="00D01139" w:rsidP="00B1085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освоят техники подготовки презентации, включая определение цели и задач, разработку и оформление в логическую структуру содержания выступления, важности проведения анализа аудитории, техники анализа;</w:t>
            </w:r>
          </w:p>
          <w:p w:rsidR="00D01139" w:rsidRPr="00B550A7" w:rsidRDefault="00D01139" w:rsidP="00B1085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получат развернутые представления о составляющих успешного выступления, попрактикуются в умении четко презентовать идеи/мысли</w:t>
            </w:r>
          </w:p>
          <w:p w:rsidR="00D01139" w:rsidRPr="00B550A7" w:rsidRDefault="00D01139" w:rsidP="00B10851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повысят индивидуальные навыки в публичных выступлениях</w:t>
            </w:r>
          </w:p>
        </w:tc>
      </w:tr>
      <w:tr w:rsidR="00D01139" w:rsidRPr="00B550A7" w:rsidTr="00B10851">
        <w:tc>
          <w:tcPr>
            <w:tcW w:w="1555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7790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D01139" w:rsidRPr="00B550A7" w:rsidTr="00B10851">
        <w:tc>
          <w:tcPr>
            <w:tcW w:w="1555" w:type="dxa"/>
          </w:tcPr>
          <w:p w:rsidR="00D01139" w:rsidRPr="00B550A7" w:rsidRDefault="00D01139" w:rsidP="00B1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A7">
              <w:rPr>
                <w:rFonts w:ascii="Times New Roman" w:hAnsi="Times New Roman" w:cs="Times New Roman"/>
                <w:sz w:val="24"/>
                <w:szCs w:val="24"/>
              </w:rPr>
              <w:t>15.45 – 17.00</w:t>
            </w:r>
          </w:p>
        </w:tc>
        <w:tc>
          <w:tcPr>
            <w:tcW w:w="7790" w:type="dxa"/>
          </w:tcPr>
          <w:p w:rsidR="007A60E2" w:rsidRDefault="007A60E2" w:rsidP="007A60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итогов тренинга.</w:t>
            </w:r>
          </w:p>
          <w:p w:rsidR="00D01139" w:rsidRPr="007A60E2" w:rsidRDefault="007A60E2" w:rsidP="00B1085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– разработка участниками идей и плана действий по организационному развитию своих НКО</w:t>
            </w:r>
          </w:p>
        </w:tc>
      </w:tr>
    </w:tbl>
    <w:p w:rsidR="001931D3" w:rsidRPr="001931D3" w:rsidRDefault="001931D3" w:rsidP="001931D3">
      <w:pPr>
        <w:rPr>
          <w:rFonts w:ascii="Times New Roman" w:hAnsi="Times New Roman" w:cs="Times New Roman"/>
          <w:b/>
          <w:sz w:val="24"/>
          <w:szCs w:val="24"/>
        </w:rPr>
      </w:pPr>
    </w:p>
    <w:sectPr w:rsidR="001931D3" w:rsidRPr="0019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005"/>
    <w:multiLevelType w:val="hybridMultilevel"/>
    <w:tmpl w:val="9ED86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273A5"/>
    <w:multiLevelType w:val="multilevel"/>
    <w:tmpl w:val="C10A425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0652E9"/>
    <w:multiLevelType w:val="hybridMultilevel"/>
    <w:tmpl w:val="D80AA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A6D57"/>
    <w:multiLevelType w:val="hybridMultilevel"/>
    <w:tmpl w:val="C636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2CB4"/>
    <w:multiLevelType w:val="hybridMultilevel"/>
    <w:tmpl w:val="5FDAC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DF5C71"/>
    <w:multiLevelType w:val="hybridMultilevel"/>
    <w:tmpl w:val="4D7CD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A3E0C"/>
    <w:multiLevelType w:val="hybridMultilevel"/>
    <w:tmpl w:val="49F6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81CD9"/>
    <w:multiLevelType w:val="hybridMultilevel"/>
    <w:tmpl w:val="F320D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8023EE"/>
    <w:multiLevelType w:val="hybridMultilevel"/>
    <w:tmpl w:val="57BE8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FD4090"/>
    <w:multiLevelType w:val="hybridMultilevel"/>
    <w:tmpl w:val="1D1ADB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73ED4"/>
    <w:multiLevelType w:val="hybridMultilevel"/>
    <w:tmpl w:val="3AB0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1D3"/>
    <w:rsid w:val="00133645"/>
    <w:rsid w:val="001931D3"/>
    <w:rsid w:val="00626540"/>
    <w:rsid w:val="007A60E2"/>
    <w:rsid w:val="00AA063C"/>
    <w:rsid w:val="00B550A7"/>
    <w:rsid w:val="00D01139"/>
    <w:rsid w:val="00D917E9"/>
    <w:rsid w:val="00EF06E5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630E-E5D9-4C90-9EAD-D0553F1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2021-05-25T12:10:00Z</dcterms:created>
  <dcterms:modified xsi:type="dcterms:W3CDTF">2021-05-25T12:10:00Z</dcterms:modified>
</cp:coreProperties>
</file>